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9E" w:rsidRDefault="00D60C76" w:rsidP="00D60C76">
      <w:pPr>
        <w:spacing w:after="20" w:line="256" w:lineRule="auto"/>
        <w:jc w:val="both"/>
        <w:rPr>
          <w:rFonts w:ascii="Source Sans Pro" w:eastAsia="Source Sans Pro" w:hAnsi="Source Sans Pro" w:cs="Source Sans Pro"/>
          <w:sz w:val="22"/>
          <w:szCs w:val="22"/>
          <w:lang w:val="es-MX"/>
        </w:rPr>
      </w:pPr>
      <w:r w:rsidRPr="00D60C76">
        <w:rPr>
          <w:rFonts w:ascii="Source Sans Pro" w:eastAsia="Source Sans Pro" w:hAnsi="Source Sans Pro" w:cs="Source Sans Pro"/>
          <w:sz w:val="22"/>
          <w:szCs w:val="22"/>
          <w:lang w:val="es-MX"/>
        </w:rPr>
        <w:t>Se hace del conocimiento de las personas interesadas que derivado de la declaratoria de emergencia sanitaria y con el objeto de prevenir, controlar, mitigar y evitar la propagación del virus SARS-CoV2 (COVID-19), el Gobierno de esta Entidad Federativa público en la Gaceta Oficial de la Ciudad de México, diversos acuerdos. Entre ellos destacan los divulgados en fechas veinte de marzo, diecisiete de abril, veintinueve de mayo, siete de agosto</w:t>
      </w:r>
      <w:r>
        <w:rPr>
          <w:rFonts w:ascii="Source Sans Pro" w:eastAsia="Source Sans Pro" w:hAnsi="Source Sans Pro" w:cs="Source Sans Pro"/>
          <w:sz w:val="22"/>
          <w:szCs w:val="22"/>
          <w:lang w:val="es-MX"/>
        </w:rPr>
        <w:t xml:space="preserve">, </w:t>
      </w:r>
      <w:r w:rsidRPr="00D60C76">
        <w:rPr>
          <w:rFonts w:ascii="Source Sans Pro" w:eastAsia="Source Sans Pro" w:hAnsi="Source Sans Pro" w:cs="Source Sans Pro"/>
          <w:sz w:val="22"/>
          <w:szCs w:val="22"/>
          <w:lang w:val="es-MX"/>
        </w:rPr>
        <w:t xml:space="preserve">veintinueve </w:t>
      </w:r>
      <w:r>
        <w:rPr>
          <w:rFonts w:ascii="Source Sans Pro" w:eastAsia="Source Sans Pro" w:hAnsi="Source Sans Pro" w:cs="Source Sans Pro"/>
          <w:sz w:val="22"/>
          <w:szCs w:val="22"/>
          <w:lang w:val="es-MX"/>
        </w:rPr>
        <w:t xml:space="preserve">de septiembre </w:t>
      </w:r>
      <w:r w:rsidRPr="00D60C76">
        <w:rPr>
          <w:rFonts w:ascii="Source Sans Pro" w:eastAsia="Source Sans Pro" w:hAnsi="Source Sans Pro" w:cs="Source Sans Pro"/>
          <w:bCs/>
          <w:sz w:val="22"/>
          <w:szCs w:val="22"/>
          <w:lang w:val="es-MX"/>
        </w:rPr>
        <w:t xml:space="preserve">y cuatro de diciembre, </w:t>
      </w:r>
      <w:r w:rsidRPr="00D60C76">
        <w:rPr>
          <w:rFonts w:ascii="Source Sans Pro" w:eastAsia="Source Sans Pro" w:hAnsi="Source Sans Pro" w:cs="Source Sans Pro"/>
          <w:sz w:val="22"/>
          <w:szCs w:val="22"/>
          <w:lang w:val="es-MX"/>
        </w:rPr>
        <w:t>todos durante el año dos mil veinte</w:t>
      </w:r>
      <w:r>
        <w:rPr>
          <w:rFonts w:ascii="Source Sans Pro" w:eastAsia="Source Sans Pro" w:hAnsi="Source Sans Pro" w:cs="Source Sans Pro"/>
          <w:sz w:val="22"/>
          <w:szCs w:val="22"/>
          <w:lang w:val="es-MX"/>
        </w:rPr>
        <w:t>. A</w:t>
      </w:r>
      <w:r w:rsidRPr="00D60C76">
        <w:rPr>
          <w:rFonts w:ascii="Source Sans Pro" w:eastAsia="Source Sans Pro" w:hAnsi="Source Sans Pro" w:cs="Source Sans Pro"/>
          <w:bCs/>
          <w:sz w:val="22"/>
          <w:szCs w:val="22"/>
          <w:lang w:val="es-MX"/>
        </w:rPr>
        <w:t>sí también sobresalen los proveídos difundidos el quince y veintinueve de enero, doce</w:t>
      </w:r>
      <w:r w:rsidR="006D0DA2">
        <w:rPr>
          <w:rFonts w:ascii="Source Sans Pro" w:eastAsia="Source Sans Pro" w:hAnsi="Source Sans Pro" w:cs="Source Sans Pro"/>
          <w:bCs/>
          <w:sz w:val="22"/>
          <w:szCs w:val="22"/>
          <w:lang w:val="es-MX"/>
        </w:rPr>
        <w:t xml:space="preserve">, diecinueve </w:t>
      </w:r>
      <w:r w:rsidRPr="00D60C76">
        <w:rPr>
          <w:rFonts w:ascii="Source Sans Pro" w:eastAsia="Source Sans Pro" w:hAnsi="Source Sans Pro" w:cs="Source Sans Pro"/>
          <w:bCs/>
          <w:sz w:val="22"/>
          <w:szCs w:val="22"/>
          <w:lang w:val="es-MX"/>
        </w:rPr>
        <w:t xml:space="preserve">y veintiséis de febrero, </w:t>
      </w:r>
      <w:r w:rsidR="00CF0E47" w:rsidRPr="00CF0E47">
        <w:rPr>
          <w:rFonts w:ascii="Source Sans Pro" w:eastAsia="Source Sans Pro" w:hAnsi="Source Sans Pro" w:cs="Source Sans Pro"/>
          <w:bCs/>
          <w:sz w:val="22"/>
          <w:szCs w:val="22"/>
          <w:lang w:val="es-MX"/>
        </w:rPr>
        <w:t>treinta y uno de marzo</w:t>
      </w:r>
      <w:r w:rsidR="00CF0E47">
        <w:rPr>
          <w:rFonts w:ascii="Source Sans Pro" w:eastAsia="Source Sans Pro" w:hAnsi="Source Sans Pro" w:cs="Source Sans Pro"/>
          <w:bCs/>
          <w:sz w:val="22"/>
          <w:szCs w:val="22"/>
          <w:lang w:val="es-MX"/>
        </w:rPr>
        <w:t xml:space="preserve">, </w:t>
      </w:r>
      <w:r w:rsidR="00CF0E47" w:rsidRPr="00CF0E47">
        <w:rPr>
          <w:rFonts w:ascii="Source Sans Pro" w:eastAsia="Source Sans Pro" w:hAnsi="Source Sans Pro" w:cs="Source Sans Pro"/>
          <w:bCs/>
          <w:sz w:val="22"/>
          <w:szCs w:val="22"/>
          <w:lang w:val="es-MX"/>
        </w:rPr>
        <w:t>treinta de abril</w:t>
      </w:r>
      <w:r w:rsidR="00CF0E47">
        <w:rPr>
          <w:rFonts w:ascii="Source Sans Pro" w:eastAsia="Source Sans Pro" w:hAnsi="Source Sans Pro" w:cs="Source Sans Pro"/>
          <w:bCs/>
          <w:sz w:val="22"/>
          <w:szCs w:val="22"/>
          <w:lang w:val="es-MX"/>
        </w:rPr>
        <w:t xml:space="preserve">, </w:t>
      </w:r>
      <w:r w:rsidR="00CF0E47" w:rsidRPr="00CF0E47">
        <w:rPr>
          <w:rFonts w:ascii="Source Sans Pro" w:eastAsia="Source Sans Pro" w:hAnsi="Source Sans Pro" w:cs="Source Sans Pro"/>
          <w:bCs/>
          <w:sz w:val="22"/>
          <w:szCs w:val="22"/>
          <w:lang w:val="es-MX"/>
        </w:rPr>
        <w:t>veintiocho de mayo</w:t>
      </w:r>
      <w:r w:rsidR="00B92CE1">
        <w:rPr>
          <w:rFonts w:ascii="Source Sans Pro" w:eastAsia="Source Sans Pro" w:hAnsi="Source Sans Pro" w:cs="Source Sans Pro"/>
          <w:bCs/>
          <w:sz w:val="22"/>
          <w:szCs w:val="22"/>
          <w:lang w:val="es-MX"/>
        </w:rPr>
        <w:t xml:space="preserve">, veinticinco </w:t>
      </w:r>
      <w:r w:rsidR="00B92CE1" w:rsidRPr="00B92CE1">
        <w:rPr>
          <w:rFonts w:ascii="Source Sans Pro" w:eastAsia="Source Sans Pro" w:hAnsi="Source Sans Pro" w:cs="Source Sans Pro"/>
          <w:bCs/>
          <w:sz w:val="22"/>
          <w:szCs w:val="22"/>
          <w:lang w:val="es-MX"/>
        </w:rPr>
        <w:t xml:space="preserve">de junio </w:t>
      </w:r>
      <w:r w:rsidR="00CF0E47">
        <w:rPr>
          <w:rFonts w:ascii="Source Sans Pro" w:eastAsia="Source Sans Pro" w:hAnsi="Source Sans Pro" w:cs="Source Sans Pro"/>
          <w:bCs/>
          <w:sz w:val="22"/>
          <w:szCs w:val="22"/>
          <w:lang w:val="es-MX"/>
        </w:rPr>
        <w:t xml:space="preserve">todos </w:t>
      </w:r>
      <w:r w:rsidRPr="00D60C76">
        <w:rPr>
          <w:rFonts w:ascii="Source Sans Pro" w:eastAsia="Source Sans Pro" w:hAnsi="Source Sans Pro" w:cs="Source Sans Pro"/>
          <w:bCs/>
          <w:sz w:val="22"/>
          <w:szCs w:val="22"/>
          <w:lang w:val="es-MX"/>
        </w:rPr>
        <w:t>d</w:t>
      </w:r>
      <w:r w:rsidR="00CF0E47">
        <w:rPr>
          <w:rFonts w:ascii="Source Sans Pro" w:eastAsia="Source Sans Pro" w:hAnsi="Source Sans Pro" w:cs="Source Sans Pro"/>
          <w:bCs/>
          <w:sz w:val="22"/>
          <w:szCs w:val="22"/>
          <w:lang w:val="es-MX"/>
        </w:rPr>
        <w:t xml:space="preserve">urante </w:t>
      </w:r>
      <w:r w:rsidRPr="00D60C76">
        <w:rPr>
          <w:rFonts w:ascii="Source Sans Pro" w:eastAsia="Source Sans Pro" w:hAnsi="Source Sans Pro" w:cs="Source Sans Pro"/>
          <w:bCs/>
          <w:sz w:val="22"/>
          <w:szCs w:val="22"/>
          <w:lang w:val="es-MX"/>
        </w:rPr>
        <w:t>e</w:t>
      </w:r>
      <w:r w:rsidR="00CF0E47">
        <w:rPr>
          <w:rFonts w:ascii="Source Sans Pro" w:eastAsia="Source Sans Pro" w:hAnsi="Source Sans Pro" w:cs="Source Sans Pro"/>
          <w:bCs/>
          <w:sz w:val="22"/>
          <w:szCs w:val="22"/>
          <w:lang w:val="es-MX"/>
        </w:rPr>
        <w:t>l</w:t>
      </w:r>
      <w:r w:rsidRPr="00D60C76">
        <w:rPr>
          <w:rFonts w:ascii="Source Sans Pro" w:eastAsia="Source Sans Pro" w:hAnsi="Source Sans Pro" w:cs="Source Sans Pro"/>
          <w:bCs/>
          <w:sz w:val="22"/>
          <w:szCs w:val="22"/>
          <w:lang w:val="es-MX"/>
        </w:rPr>
        <w:t xml:space="preserve"> dos mil veintiuno</w:t>
      </w:r>
      <w:r>
        <w:rPr>
          <w:rFonts w:ascii="Source Sans Pro" w:eastAsia="Source Sans Pro" w:hAnsi="Source Sans Pro" w:cs="Source Sans Pro"/>
          <w:bCs/>
          <w:sz w:val="22"/>
          <w:szCs w:val="22"/>
          <w:lang w:val="es-MX"/>
        </w:rPr>
        <w:t xml:space="preserve">, </w:t>
      </w:r>
      <w:r w:rsidRPr="00D60C76">
        <w:rPr>
          <w:rFonts w:ascii="Source Sans Pro" w:eastAsia="Source Sans Pro" w:hAnsi="Source Sans Pro" w:cs="Source Sans Pro"/>
          <w:bCs/>
          <w:sz w:val="22"/>
          <w:szCs w:val="22"/>
          <w:lang w:val="es-MX"/>
        </w:rPr>
        <w:t xml:space="preserve">a través de los cuales, de manera medular </w:t>
      </w:r>
      <w:r w:rsidR="0066349D">
        <w:rPr>
          <w:rFonts w:ascii="Source Sans Pro" w:eastAsia="Source Sans Pro" w:hAnsi="Source Sans Pro" w:cs="Source Sans Pro"/>
          <w:bCs/>
          <w:sz w:val="22"/>
          <w:szCs w:val="22"/>
          <w:lang w:val="es-MX"/>
        </w:rPr>
        <w:t xml:space="preserve">se determinó </w:t>
      </w:r>
      <w:r w:rsidRPr="00D60C76">
        <w:rPr>
          <w:rFonts w:ascii="Source Sans Pro" w:eastAsia="Source Sans Pro" w:hAnsi="Source Sans Pro" w:cs="Source Sans Pro"/>
          <w:bCs/>
          <w:sz w:val="22"/>
          <w:szCs w:val="22"/>
          <w:lang w:val="es-MX"/>
        </w:rPr>
        <w:t xml:space="preserve">suspender los términos y plazos para la práctica de actuaciones y diligencias que se desarrollan en los procedimientos administrativos, decretando </w:t>
      </w:r>
      <w:r w:rsidRPr="00D60C76">
        <w:rPr>
          <w:rFonts w:ascii="Source Sans Pro" w:eastAsia="Source Sans Pro" w:hAnsi="Source Sans Pro" w:cs="Source Sans Pro"/>
          <w:bCs/>
          <w:sz w:val="22"/>
          <w:szCs w:val="22"/>
          <w:lang w:val="es-ES"/>
        </w:rPr>
        <w:t xml:space="preserve">como días inhábiles los comprendidos a partir del veintitrés de marzo de dos mil veinte al </w:t>
      </w:r>
      <w:r w:rsidR="00CF0E47">
        <w:rPr>
          <w:rFonts w:ascii="Source Sans Pro" w:eastAsia="Source Sans Pro" w:hAnsi="Source Sans Pro" w:cs="Source Sans Pro"/>
          <w:bCs/>
          <w:sz w:val="22"/>
          <w:szCs w:val="22"/>
          <w:lang w:val="es-ES"/>
        </w:rPr>
        <w:t xml:space="preserve">veinticinco </w:t>
      </w:r>
      <w:r w:rsidRPr="00D60C76">
        <w:rPr>
          <w:rFonts w:ascii="Source Sans Pro" w:eastAsia="Source Sans Pro" w:hAnsi="Source Sans Pro" w:cs="Source Sans Pro"/>
          <w:bCs/>
          <w:sz w:val="22"/>
          <w:szCs w:val="22"/>
          <w:lang w:val="es-ES"/>
        </w:rPr>
        <w:t>de</w:t>
      </w:r>
      <w:r w:rsidR="00CF0E47">
        <w:rPr>
          <w:rFonts w:ascii="Source Sans Pro" w:eastAsia="Source Sans Pro" w:hAnsi="Source Sans Pro" w:cs="Source Sans Pro"/>
          <w:bCs/>
          <w:sz w:val="22"/>
          <w:szCs w:val="22"/>
          <w:lang w:val="es-ES"/>
        </w:rPr>
        <w:t xml:space="preserve"> ju</w:t>
      </w:r>
      <w:r w:rsidR="00B92CE1">
        <w:rPr>
          <w:rFonts w:ascii="Source Sans Pro" w:eastAsia="Source Sans Pro" w:hAnsi="Source Sans Pro" w:cs="Source Sans Pro"/>
          <w:bCs/>
          <w:sz w:val="22"/>
          <w:szCs w:val="22"/>
          <w:lang w:val="es-ES"/>
        </w:rPr>
        <w:t>l</w:t>
      </w:r>
      <w:r w:rsidR="00CF0E47">
        <w:rPr>
          <w:rFonts w:ascii="Source Sans Pro" w:eastAsia="Source Sans Pro" w:hAnsi="Source Sans Pro" w:cs="Source Sans Pro"/>
          <w:bCs/>
          <w:sz w:val="22"/>
          <w:szCs w:val="22"/>
          <w:lang w:val="es-ES"/>
        </w:rPr>
        <w:t xml:space="preserve">io </w:t>
      </w:r>
      <w:r w:rsidRPr="00D60C76">
        <w:rPr>
          <w:rFonts w:ascii="Source Sans Pro" w:eastAsia="Source Sans Pro" w:hAnsi="Source Sans Pro" w:cs="Source Sans Pro"/>
          <w:bCs/>
          <w:sz w:val="22"/>
          <w:szCs w:val="22"/>
          <w:lang w:val="es-ES"/>
        </w:rPr>
        <w:t>del presente año.</w:t>
      </w:r>
    </w:p>
    <w:p w:rsidR="0040429E" w:rsidRDefault="0040429E" w:rsidP="00D60C76">
      <w:pPr>
        <w:spacing w:after="20" w:line="256" w:lineRule="auto"/>
        <w:jc w:val="both"/>
        <w:rPr>
          <w:rFonts w:ascii="Source Sans Pro" w:eastAsia="Source Sans Pro" w:hAnsi="Source Sans Pro" w:cs="Source Sans Pro"/>
          <w:sz w:val="22"/>
          <w:szCs w:val="22"/>
          <w:lang w:val="es-MX"/>
        </w:rPr>
      </w:pPr>
    </w:p>
    <w:p w:rsidR="00D60C76" w:rsidRPr="0040429E" w:rsidRDefault="00D60C76" w:rsidP="00D60C76">
      <w:pPr>
        <w:spacing w:after="20" w:line="256" w:lineRule="auto"/>
        <w:jc w:val="both"/>
        <w:rPr>
          <w:rFonts w:ascii="Source Sans Pro" w:eastAsia="Source Sans Pro" w:hAnsi="Source Sans Pro" w:cs="Source Sans Pro"/>
          <w:sz w:val="22"/>
          <w:szCs w:val="22"/>
          <w:lang w:val="es-MX"/>
        </w:rPr>
      </w:pPr>
      <w:r w:rsidRPr="00D60C76">
        <w:rPr>
          <w:rFonts w:ascii="Source Sans Pro" w:eastAsia="Source Sans Pro" w:hAnsi="Source Sans Pro" w:cs="Source Sans Pro"/>
          <w:bCs/>
          <w:sz w:val="22"/>
          <w:szCs w:val="22"/>
          <w:lang w:val="es-ES"/>
        </w:rPr>
        <w:t xml:space="preserve">Como consecuencia de lo anterior, </w:t>
      </w:r>
      <w:r w:rsidRPr="00D60C76">
        <w:rPr>
          <w:rFonts w:ascii="Source Sans Pro" w:eastAsia="Source Sans Pro" w:hAnsi="Source Sans Pro" w:cs="Source Sans Pro"/>
          <w:b/>
          <w:bCs/>
          <w:sz w:val="22"/>
          <w:szCs w:val="22"/>
          <w:lang w:val="es-ES"/>
        </w:rPr>
        <w:t xml:space="preserve">durante el </w:t>
      </w:r>
      <w:r w:rsidR="00DD0A92">
        <w:rPr>
          <w:rFonts w:ascii="Source Sans Pro" w:eastAsia="Source Sans Pro" w:hAnsi="Source Sans Pro" w:cs="Source Sans Pro"/>
          <w:b/>
          <w:bCs/>
          <w:sz w:val="22"/>
          <w:szCs w:val="22"/>
          <w:lang w:val="es-ES"/>
        </w:rPr>
        <w:t>segundo</w:t>
      </w:r>
      <w:r w:rsidR="0040429E">
        <w:rPr>
          <w:rFonts w:ascii="Source Sans Pro" w:eastAsia="Source Sans Pro" w:hAnsi="Source Sans Pro" w:cs="Source Sans Pro"/>
          <w:b/>
          <w:bCs/>
          <w:sz w:val="22"/>
          <w:szCs w:val="22"/>
          <w:lang w:val="es-ES"/>
        </w:rPr>
        <w:t xml:space="preserve"> </w:t>
      </w:r>
      <w:r w:rsidRPr="00D60C76">
        <w:rPr>
          <w:rFonts w:ascii="Source Sans Pro" w:eastAsia="Source Sans Pro" w:hAnsi="Source Sans Pro" w:cs="Source Sans Pro"/>
          <w:b/>
          <w:bCs/>
          <w:sz w:val="22"/>
          <w:szCs w:val="22"/>
          <w:lang w:val="es-ES"/>
        </w:rPr>
        <w:t xml:space="preserve">trimestre del ejercicio dos mil </w:t>
      </w:r>
      <w:r w:rsidR="0040429E">
        <w:rPr>
          <w:rFonts w:ascii="Source Sans Pro" w:eastAsia="Source Sans Pro" w:hAnsi="Source Sans Pro" w:cs="Source Sans Pro"/>
          <w:b/>
          <w:bCs/>
          <w:sz w:val="22"/>
          <w:szCs w:val="22"/>
          <w:lang w:val="es-ES"/>
        </w:rPr>
        <w:t>veintiuno</w:t>
      </w:r>
      <w:r w:rsidR="0066349D">
        <w:rPr>
          <w:rFonts w:ascii="Source Sans Pro" w:eastAsia="Source Sans Pro" w:hAnsi="Source Sans Pro" w:cs="Source Sans Pro"/>
          <w:b/>
          <w:bCs/>
          <w:sz w:val="22"/>
          <w:szCs w:val="22"/>
          <w:lang w:val="es-ES"/>
        </w:rPr>
        <w:t>,</w:t>
      </w:r>
      <w:r w:rsidRPr="00D60C76">
        <w:rPr>
          <w:rFonts w:ascii="Source Sans Pro" w:eastAsia="Source Sans Pro" w:hAnsi="Source Sans Pro" w:cs="Source Sans Pro"/>
          <w:b/>
          <w:bCs/>
          <w:sz w:val="22"/>
          <w:szCs w:val="22"/>
          <w:lang w:val="es-ES"/>
        </w:rPr>
        <w:t xml:space="preserve"> </w:t>
      </w:r>
      <w:r w:rsidR="0040429E">
        <w:rPr>
          <w:rFonts w:ascii="Source Sans Pro" w:eastAsia="Source Sans Pro" w:hAnsi="Source Sans Pro" w:cs="Source Sans Pro"/>
          <w:b/>
          <w:bCs/>
          <w:sz w:val="22"/>
          <w:szCs w:val="22"/>
          <w:lang w:val="es-ES"/>
        </w:rPr>
        <w:t xml:space="preserve">ninguna </w:t>
      </w:r>
      <w:r w:rsidRPr="00D60C76">
        <w:rPr>
          <w:rFonts w:ascii="Source Sans Pro" w:eastAsia="Source Sans Pro" w:hAnsi="Source Sans Pro" w:cs="Source Sans Pro"/>
          <w:b/>
          <w:bCs/>
          <w:sz w:val="22"/>
          <w:szCs w:val="22"/>
          <w:lang w:val="es-ES"/>
        </w:rPr>
        <w:t>de las resoluciones administrativas</w:t>
      </w:r>
      <w:r w:rsidRPr="00D60C76">
        <w:rPr>
          <w:rFonts w:ascii="Source Sans Pro" w:eastAsia="Source Sans Pro" w:hAnsi="Source Sans Pro" w:cs="Source Sans Pro"/>
          <w:bCs/>
          <w:sz w:val="22"/>
          <w:szCs w:val="22"/>
          <w:lang w:val="es-ES"/>
        </w:rPr>
        <w:t xml:space="preserve"> dictadas en las materias diversas a la de </w:t>
      </w:r>
      <w:r w:rsidRPr="00D60C76">
        <w:rPr>
          <w:rFonts w:ascii="Source Sans Pro" w:eastAsia="Source Sans Pro" w:hAnsi="Source Sans Pro" w:cs="Source Sans Pro"/>
          <w:bCs/>
          <w:sz w:val="22"/>
          <w:szCs w:val="22"/>
          <w:lang w:val="es-MX"/>
        </w:rPr>
        <w:t>Transporte público, mercantil y privado de pasajero y de carga</w:t>
      </w:r>
      <w:r w:rsidRPr="00D60C76">
        <w:rPr>
          <w:rFonts w:ascii="Source Sans Pro" w:eastAsia="Source Sans Pro" w:hAnsi="Source Sans Pro" w:cs="Source Sans Pro"/>
          <w:bCs/>
          <w:sz w:val="22"/>
          <w:szCs w:val="22"/>
          <w:lang w:val="es-ES"/>
        </w:rPr>
        <w:t xml:space="preserve">, </w:t>
      </w:r>
      <w:r w:rsidR="0040429E">
        <w:rPr>
          <w:rFonts w:ascii="Source Sans Pro" w:eastAsia="Source Sans Pro" w:hAnsi="Source Sans Pro" w:cs="Source Sans Pro"/>
          <w:b/>
          <w:bCs/>
          <w:sz w:val="22"/>
          <w:szCs w:val="22"/>
          <w:lang w:val="es-ES"/>
        </w:rPr>
        <w:t xml:space="preserve">alcanzó </w:t>
      </w:r>
      <w:r w:rsidRPr="00D60C76">
        <w:rPr>
          <w:rFonts w:ascii="Source Sans Pro" w:eastAsia="Source Sans Pro" w:hAnsi="Source Sans Pro" w:cs="Source Sans Pro"/>
          <w:b/>
          <w:bCs/>
          <w:sz w:val="22"/>
          <w:szCs w:val="22"/>
          <w:lang w:val="es-ES"/>
        </w:rPr>
        <w:t>el valor de</w:t>
      </w:r>
      <w:r w:rsidRPr="00D60C76">
        <w:rPr>
          <w:rFonts w:ascii="Source Sans Pro" w:eastAsia="Source Sans Pro" w:hAnsi="Source Sans Pro" w:cs="Source Sans Pro"/>
          <w:b/>
          <w:sz w:val="22"/>
          <w:szCs w:val="22"/>
          <w:lang w:val="es-MX"/>
        </w:rPr>
        <w:t xml:space="preserve"> cosa juzgada</w:t>
      </w:r>
      <w:r w:rsidRPr="00D60C76">
        <w:rPr>
          <w:rFonts w:ascii="Source Sans Pro" w:eastAsia="Source Sans Pro" w:hAnsi="Source Sans Pro" w:cs="Source Sans Pro"/>
          <w:bCs/>
          <w:sz w:val="22"/>
          <w:szCs w:val="22"/>
          <w:lang w:val="es-MX"/>
        </w:rPr>
        <w:t xml:space="preserve"> y por tanto puede ser susceptible de ser divulgada. Ello de conformidad con lo dispuesto en los artículos 426 y 427 fracción II del Código de Procedimientos C</w:t>
      </w:r>
      <w:r w:rsidR="0040429E">
        <w:rPr>
          <w:rFonts w:ascii="Source Sans Pro" w:eastAsia="Source Sans Pro" w:hAnsi="Source Sans Pro" w:cs="Source Sans Pro"/>
          <w:bCs/>
          <w:sz w:val="22"/>
          <w:szCs w:val="22"/>
          <w:lang w:val="es-MX"/>
        </w:rPr>
        <w:t>iviles para el Distrito Federal;</w:t>
      </w:r>
      <w:r w:rsidRPr="00D60C76">
        <w:rPr>
          <w:rFonts w:ascii="Source Sans Pro" w:eastAsia="Source Sans Pro" w:hAnsi="Source Sans Pro" w:cs="Source Sans Pro"/>
          <w:bCs/>
          <w:sz w:val="22"/>
          <w:szCs w:val="22"/>
          <w:lang w:val="es-MX"/>
        </w:rPr>
        <w:t xml:space="preserve"> ordenamiento de aplicación supletoria al Reglamento de Verificación Admi</w:t>
      </w:r>
      <w:r w:rsidR="0040429E">
        <w:rPr>
          <w:rFonts w:ascii="Source Sans Pro" w:eastAsia="Source Sans Pro" w:hAnsi="Source Sans Pro" w:cs="Source Sans Pro"/>
          <w:bCs/>
          <w:sz w:val="22"/>
          <w:szCs w:val="22"/>
          <w:lang w:val="es-MX"/>
        </w:rPr>
        <w:t>nistrativa del Distrito Federal;</w:t>
      </w:r>
      <w:r w:rsidRPr="00D60C76">
        <w:rPr>
          <w:rFonts w:ascii="Source Sans Pro" w:eastAsia="Source Sans Pro" w:hAnsi="Source Sans Pro" w:cs="Source Sans Pro"/>
          <w:bCs/>
          <w:sz w:val="22"/>
          <w:szCs w:val="22"/>
          <w:lang w:val="es-MX"/>
        </w:rPr>
        <w:t xml:space="preserve"> en relación con el diverso 121 fracción XXXIX, de la</w:t>
      </w:r>
      <w:r w:rsidRPr="00D60C76">
        <w:rPr>
          <w:rFonts w:ascii="Source Sans Pro" w:eastAsia="Source Sans Pro" w:hAnsi="Source Sans Pro" w:cs="Source Sans Pro"/>
          <w:i/>
          <w:sz w:val="22"/>
          <w:szCs w:val="22"/>
          <w:lang w:val="es-MX"/>
        </w:rPr>
        <w:t xml:space="preserve"> </w:t>
      </w:r>
      <w:r w:rsidRPr="00D60C76">
        <w:rPr>
          <w:rFonts w:ascii="Source Sans Pro" w:eastAsia="Source Sans Pro" w:hAnsi="Source Sans Pro" w:cs="Source Sans Pro"/>
          <w:bCs/>
          <w:sz w:val="22"/>
          <w:szCs w:val="22"/>
          <w:lang w:val="es-MX"/>
        </w:rPr>
        <w:t xml:space="preserve">Ley de Transparencia, Acceso a la Información Pública y Rendición de Cuentas de la Ciudad de México; mismos que en su parte de interés establecen lo siguiente:  </w:t>
      </w:r>
    </w:p>
    <w:p w:rsidR="00D60C76" w:rsidRPr="00D60C76" w:rsidRDefault="00D60C76" w:rsidP="00D60C76">
      <w:pPr>
        <w:spacing w:after="20" w:line="256" w:lineRule="auto"/>
        <w:jc w:val="both"/>
        <w:rPr>
          <w:rFonts w:ascii="Source Sans Pro" w:eastAsia="Source Sans Pro" w:hAnsi="Source Sans Pro" w:cs="Source Sans Pro"/>
          <w:b/>
          <w:bCs/>
          <w:sz w:val="22"/>
          <w:szCs w:val="22"/>
          <w:lang w:val="es-MX"/>
        </w:rPr>
      </w:pPr>
    </w:p>
    <w:p w:rsidR="00D60C76" w:rsidRPr="00D60C76" w:rsidRDefault="00D60C76" w:rsidP="00D60C76">
      <w:pPr>
        <w:spacing w:after="20" w:line="256" w:lineRule="auto"/>
        <w:ind w:left="567" w:right="851"/>
        <w:jc w:val="both"/>
        <w:rPr>
          <w:rFonts w:ascii="Source Sans Pro" w:eastAsia="Source Sans Pro" w:hAnsi="Source Sans Pro" w:cs="Source Sans Pro"/>
          <w:b/>
          <w:bCs/>
          <w:sz w:val="21"/>
          <w:szCs w:val="21"/>
          <w:lang w:val="es-MX"/>
        </w:rPr>
      </w:pPr>
      <w:r w:rsidRPr="00D60C76">
        <w:rPr>
          <w:rFonts w:ascii="Source Sans Pro" w:eastAsia="Source Sans Pro" w:hAnsi="Source Sans Pro" w:cs="Source Sans Pro"/>
          <w:b/>
          <w:bCs/>
          <w:sz w:val="21"/>
          <w:szCs w:val="21"/>
          <w:lang w:val="es-MX"/>
        </w:rPr>
        <w:t>CÓDIGO DE PROCEDIMIENTOS CIVILES PARA EL DISTRITO FEDERAL</w:t>
      </w:r>
    </w:p>
    <w:p w:rsidR="00D60C76" w:rsidRPr="00D60C76" w:rsidRDefault="00D60C76" w:rsidP="00D60C76">
      <w:pPr>
        <w:spacing w:after="20" w:line="256" w:lineRule="auto"/>
        <w:ind w:left="567" w:right="851"/>
        <w:jc w:val="both"/>
        <w:rPr>
          <w:rFonts w:ascii="Source Sans Pro" w:eastAsia="Source Sans Pro" w:hAnsi="Source Sans Pro" w:cs="Source Sans Pro"/>
          <w:b/>
          <w:bCs/>
          <w:i/>
          <w:sz w:val="21"/>
          <w:szCs w:val="21"/>
          <w:lang w:val="es-ES"/>
        </w:rPr>
      </w:pPr>
    </w:p>
    <w:p w:rsidR="00D60C76" w:rsidRPr="00D60C76" w:rsidRDefault="00D60C76" w:rsidP="00D60C76">
      <w:pPr>
        <w:spacing w:after="20" w:line="256" w:lineRule="auto"/>
        <w:ind w:left="567" w:right="851"/>
        <w:jc w:val="both"/>
        <w:rPr>
          <w:rFonts w:ascii="Source Sans Pro" w:eastAsia="Source Sans Pro" w:hAnsi="Source Sans Pro" w:cs="Source Sans Pro"/>
          <w:bCs/>
          <w:i/>
          <w:sz w:val="21"/>
          <w:szCs w:val="21"/>
          <w:lang w:val="es-ES"/>
        </w:rPr>
      </w:pPr>
      <w:r w:rsidRPr="00D60C76">
        <w:rPr>
          <w:rFonts w:ascii="Source Sans Pro" w:eastAsia="Source Sans Pro" w:hAnsi="Source Sans Pro" w:cs="Source Sans Pro"/>
          <w:bCs/>
          <w:i/>
          <w:sz w:val="21"/>
          <w:szCs w:val="21"/>
          <w:lang w:val="es-ES"/>
        </w:rPr>
        <w:t>“</w:t>
      </w:r>
      <w:r w:rsidRPr="00D60C76">
        <w:rPr>
          <w:rFonts w:ascii="Source Sans Pro" w:eastAsia="Source Sans Pro" w:hAnsi="Source Sans Pro" w:cs="Source Sans Pro"/>
          <w:b/>
          <w:bCs/>
          <w:i/>
          <w:sz w:val="21"/>
          <w:szCs w:val="21"/>
          <w:lang w:val="es-ES"/>
        </w:rPr>
        <w:t>Artículo 426</w:t>
      </w:r>
      <w:r w:rsidRPr="00D60C76">
        <w:rPr>
          <w:rFonts w:ascii="Source Sans Pro" w:eastAsia="Source Sans Pro" w:hAnsi="Source Sans Pro" w:cs="Source Sans Pro"/>
          <w:bCs/>
          <w:i/>
          <w:sz w:val="21"/>
          <w:szCs w:val="21"/>
          <w:lang w:val="es-ES"/>
        </w:rPr>
        <w:t>.- Hay cosa juzgada cuando la sentencia causa ejecutoria…</w:t>
      </w:r>
    </w:p>
    <w:p w:rsidR="00D60C76" w:rsidRPr="00D60C76" w:rsidRDefault="00D60C76" w:rsidP="00D60C76">
      <w:pPr>
        <w:spacing w:after="20" w:line="256" w:lineRule="auto"/>
        <w:ind w:left="567" w:right="851"/>
        <w:jc w:val="both"/>
        <w:rPr>
          <w:rFonts w:ascii="Source Sans Pro" w:eastAsia="Source Sans Pro" w:hAnsi="Source Sans Pro" w:cs="Source Sans Pro"/>
          <w:bCs/>
          <w:i/>
          <w:sz w:val="21"/>
          <w:szCs w:val="21"/>
          <w:lang w:val="es-ES"/>
        </w:rPr>
      </w:pPr>
    </w:p>
    <w:p w:rsidR="00D60C76" w:rsidRPr="00D60C76" w:rsidRDefault="00D60C76" w:rsidP="00D60C76">
      <w:pPr>
        <w:spacing w:after="20" w:line="256" w:lineRule="auto"/>
        <w:ind w:left="567" w:right="851"/>
        <w:jc w:val="both"/>
        <w:rPr>
          <w:rFonts w:ascii="Source Sans Pro" w:eastAsia="Source Sans Pro" w:hAnsi="Source Sans Pro" w:cs="Source Sans Pro"/>
          <w:bCs/>
          <w:i/>
          <w:sz w:val="21"/>
          <w:szCs w:val="21"/>
          <w:lang w:val="es-ES"/>
        </w:rPr>
      </w:pPr>
      <w:r w:rsidRPr="00D60C76">
        <w:rPr>
          <w:rFonts w:ascii="Source Sans Pro" w:eastAsia="Source Sans Pro" w:hAnsi="Source Sans Pro" w:cs="Source Sans Pro"/>
          <w:b/>
          <w:bCs/>
          <w:i/>
          <w:sz w:val="21"/>
          <w:szCs w:val="21"/>
          <w:lang w:val="es-ES"/>
        </w:rPr>
        <w:t>Artículo 427</w:t>
      </w:r>
      <w:r w:rsidRPr="00D60C76">
        <w:rPr>
          <w:rFonts w:ascii="Source Sans Pro" w:eastAsia="Source Sans Pro" w:hAnsi="Source Sans Pro" w:cs="Source Sans Pro"/>
          <w:bCs/>
          <w:i/>
          <w:sz w:val="21"/>
          <w:szCs w:val="21"/>
          <w:lang w:val="es-ES"/>
        </w:rPr>
        <w:t>.- Causan ejecutoria por declaración judicial:</w:t>
      </w:r>
    </w:p>
    <w:p w:rsidR="00D60C76" w:rsidRPr="00D60C76" w:rsidRDefault="00D60C76" w:rsidP="00D60C76">
      <w:pPr>
        <w:spacing w:after="20" w:line="256" w:lineRule="auto"/>
        <w:ind w:left="567" w:right="851"/>
        <w:jc w:val="both"/>
        <w:rPr>
          <w:rFonts w:ascii="Source Sans Pro" w:eastAsia="Source Sans Pro" w:hAnsi="Source Sans Pro" w:cs="Source Sans Pro"/>
          <w:bCs/>
          <w:i/>
          <w:sz w:val="21"/>
          <w:szCs w:val="21"/>
          <w:lang w:val="es-ES"/>
        </w:rPr>
      </w:pPr>
    </w:p>
    <w:p w:rsidR="00D60C76" w:rsidRPr="00D60C76" w:rsidRDefault="00D60C76" w:rsidP="00D60C76">
      <w:pPr>
        <w:spacing w:after="20" w:line="256" w:lineRule="auto"/>
        <w:ind w:left="567" w:right="851"/>
        <w:jc w:val="both"/>
        <w:rPr>
          <w:rFonts w:ascii="Source Sans Pro" w:eastAsia="Source Sans Pro" w:hAnsi="Source Sans Pro" w:cs="Source Sans Pro"/>
          <w:bCs/>
          <w:i/>
          <w:sz w:val="21"/>
          <w:szCs w:val="21"/>
          <w:lang w:val="es-ES"/>
        </w:rPr>
      </w:pPr>
      <w:r w:rsidRPr="00D60C76">
        <w:rPr>
          <w:rFonts w:ascii="Source Sans Pro" w:eastAsia="Source Sans Pro" w:hAnsi="Source Sans Pro" w:cs="Source Sans Pro"/>
          <w:bCs/>
          <w:i/>
          <w:sz w:val="21"/>
          <w:szCs w:val="21"/>
          <w:lang w:val="es-ES"/>
        </w:rPr>
        <w:t xml:space="preserve">II.- Las sentencias de que hecha notificación en forma, no se interpone recurso en el término señalado por la ley, y” </w:t>
      </w:r>
    </w:p>
    <w:p w:rsidR="00D60C76" w:rsidRPr="00D60C76" w:rsidRDefault="00D60C76" w:rsidP="00D60C76">
      <w:pPr>
        <w:spacing w:after="20" w:line="256" w:lineRule="auto"/>
        <w:ind w:left="567" w:right="851"/>
        <w:jc w:val="both"/>
        <w:rPr>
          <w:rFonts w:ascii="Source Sans Pro" w:eastAsia="Source Sans Pro" w:hAnsi="Source Sans Pro" w:cs="Source Sans Pro"/>
          <w:bCs/>
          <w:i/>
          <w:sz w:val="21"/>
          <w:szCs w:val="21"/>
          <w:lang w:val="es-ES"/>
        </w:rPr>
      </w:pPr>
    </w:p>
    <w:p w:rsidR="00D60C76" w:rsidRPr="00D60C76" w:rsidRDefault="00D60C76" w:rsidP="00D60C76">
      <w:pPr>
        <w:spacing w:after="20" w:line="256" w:lineRule="auto"/>
        <w:ind w:left="567" w:right="851"/>
        <w:jc w:val="both"/>
        <w:rPr>
          <w:rFonts w:ascii="Source Sans Pro" w:eastAsia="Source Sans Pro" w:hAnsi="Source Sans Pro" w:cs="Source Sans Pro"/>
          <w:b/>
          <w:bCs/>
          <w:i/>
          <w:sz w:val="21"/>
          <w:szCs w:val="21"/>
          <w:lang w:val="es-ES"/>
        </w:rPr>
      </w:pPr>
      <w:r w:rsidRPr="00D60C76">
        <w:rPr>
          <w:rFonts w:ascii="Source Sans Pro" w:eastAsia="Source Sans Pro" w:hAnsi="Source Sans Pro" w:cs="Source Sans Pro"/>
          <w:b/>
          <w:bCs/>
          <w:sz w:val="21"/>
          <w:szCs w:val="21"/>
          <w:lang w:val="es-MX"/>
        </w:rPr>
        <w:t>LEY DE TRANSPARENCIA, ACCESO A LA INFORMACIÓN PÚBLICA Y RENDICIÓN DE CUENTAS DE LA CIUDAD DE MÉXICO</w:t>
      </w:r>
    </w:p>
    <w:p w:rsidR="00D60C76" w:rsidRPr="00D60C76" w:rsidRDefault="00D60C76" w:rsidP="00D60C76">
      <w:pPr>
        <w:spacing w:after="20" w:line="256" w:lineRule="auto"/>
        <w:ind w:left="567" w:right="851"/>
        <w:jc w:val="both"/>
        <w:rPr>
          <w:rFonts w:ascii="Source Sans Pro" w:eastAsia="Source Sans Pro" w:hAnsi="Source Sans Pro" w:cs="Source Sans Pro"/>
          <w:bCs/>
          <w:i/>
          <w:sz w:val="21"/>
          <w:szCs w:val="21"/>
          <w:lang w:val="es-ES"/>
        </w:rPr>
      </w:pPr>
    </w:p>
    <w:p w:rsidR="00D60C76" w:rsidRPr="00D60C76" w:rsidRDefault="00D60C76" w:rsidP="00D60C76">
      <w:pPr>
        <w:spacing w:after="20" w:line="256" w:lineRule="auto"/>
        <w:ind w:left="567" w:right="851"/>
        <w:jc w:val="both"/>
        <w:rPr>
          <w:rFonts w:ascii="Source Sans Pro" w:eastAsia="Source Sans Pro" w:hAnsi="Source Sans Pro" w:cs="Source Sans Pro"/>
          <w:bCs/>
          <w:i/>
          <w:sz w:val="21"/>
          <w:szCs w:val="21"/>
          <w:lang w:val="es-MX"/>
        </w:rPr>
      </w:pPr>
      <w:r w:rsidRPr="00D60C76">
        <w:rPr>
          <w:rFonts w:ascii="Source Sans Pro" w:eastAsia="Source Sans Pro" w:hAnsi="Source Sans Pro" w:cs="Source Sans Pro"/>
          <w:bCs/>
          <w:i/>
          <w:sz w:val="21"/>
          <w:szCs w:val="21"/>
          <w:lang w:val="es-MX"/>
        </w:rPr>
        <w:t>“</w:t>
      </w:r>
      <w:r w:rsidRPr="00D60C76">
        <w:rPr>
          <w:rFonts w:ascii="Source Sans Pro" w:eastAsia="Source Sans Pro" w:hAnsi="Source Sans Pro" w:cs="Source Sans Pro"/>
          <w:b/>
          <w:bCs/>
          <w:i/>
          <w:sz w:val="21"/>
          <w:szCs w:val="21"/>
          <w:lang w:val="es-MX"/>
        </w:rPr>
        <w:t>Artículo 121</w:t>
      </w:r>
      <w:r w:rsidRPr="00D60C76">
        <w:rPr>
          <w:rFonts w:ascii="Source Sans Pro" w:eastAsia="Source Sans Pro" w:hAnsi="Source Sans Pro" w:cs="Source Sans Pro"/>
          <w:bCs/>
          <w:i/>
          <w:sz w:val="21"/>
          <w:szCs w:val="21"/>
          <w:lang w:val="es-MX"/>
        </w:rPr>
        <w:t>. Los sujetos obligados, deberán mantener impresa para consulta directa de los particulares, difundir y mantener actualizada a través de los respectivos medios electrónicos, de sus sitios de internet y de la Plataforma Nacional de Transparencia, la información, por lo menos, de los temas, documentos y políticas siguientes según les corresponda:</w:t>
      </w:r>
    </w:p>
    <w:p w:rsidR="00D60C76" w:rsidRPr="00D60C76" w:rsidRDefault="00D60C76" w:rsidP="00D60C76">
      <w:pPr>
        <w:spacing w:after="20" w:line="256" w:lineRule="auto"/>
        <w:ind w:left="567" w:right="851"/>
        <w:jc w:val="both"/>
        <w:rPr>
          <w:rFonts w:ascii="Source Sans Pro" w:eastAsia="Source Sans Pro" w:hAnsi="Source Sans Pro" w:cs="Source Sans Pro"/>
          <w:bCs/>
          <w:i/>
          <w:sz w:val="21"/>
          <w:szCs w:val="21"/>
          <w:lang w:val="es-MX"/>
        </w:rPr>
      </w:pPr>
    </w:p>
    <w:p w:rsidR="00D10B78" w:rsidRPr="00D60C76" w:rsidRDefault="00D60C76" w:rsidP="00A71E79">
      <w:pPr>
        <w:spacing w:after="20" w:line="256" w:lineRule="auto"/>
        <w:ind w:left="567" w:right="851"/>
        <w:jc w:val="both"/>
        <w:rPr>
          <w:rFonts w:ascii="Source Sans Pro" w:eastAsia="Source Sans Pro" w:hAnsi="Source Sans Pro" w:cs="Source Sans Pro"/>
          <w:b/>
          <w:sz w:val="22"/>
          <w:szCs w:val="22"/>
          <w:lang w:val="es-ES"/>
        </w:rPr>
      </w:pPr>
      <w:r w:rsidRPr="00D60C76">
        <w:rPr>
          <w:rFonts w:ascii="Source Sans Pro" w:eastAsia="Source Sans Pro" w:hAnsi="Source Sans Pro" w:cs="Source Sans Pro"/>
          <w:bCs/>
          <w:i/>
          <w:sz w:val="21"/>
          <w:szCs w:val="21"/>
          <w:lang w:val="es-MX"/>
        </w:rPr>
        <w:t>XXXIX. Las resoluciones y laudos que se emitan en procesos o procedimientos seguidos en forma de juicio;”</w:t>
      </w:r>
      <w:bookmarkStart w:id="0" w:name="_GoBack"/>
      <w:bookmarkEnd w:id="0"/>
    </w:p>
    <w:sectPr w:rsidR="00D10B78" w:rsidRPr="00D60C76" w:rsidSect="00323A10">
      <w:headerReference w:type="default" r:id="rId7"/>
      <w:footerReference w:type="default" r:id="rId8"/>
      <w:pgSz w:w="12240" w:h="15840"/>
      <w:pgMar w:top="2231" w:right="877" w:bottom="1440" w:left="1440" w:header="59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8C" w:rsidRDefault="00273A8C">
      <w:r>
        <w:separator/>
      </w:r>
    </w:p>
  </w:endnote>
  <w:endnote w:type="continuationSeparator" w:id="0">
    <w:p w:rsidR="00273A8C" w:rsidRDefault="0027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ource Sans Pro">
    <w:altName w:val="Cambria Math"/>
    <w:panose1 w:val="020B0503030403020204"/>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B78" w:rsidRPr="00EB7712" w:rsidRDefault="00EB7712">
    <w:pPr>
      <w:pBdr>
        <w:top w:val="nil"/>
        <w:left w:val="nil"/>
        <w:bottom w:val="nil"/>
        <w:right w:val="nil"/>
        <w:between w:val="nil"/>
      </w:pBdr>
      <w:tabs>
        <w:tab w:val="center" w:pos="4680"/>
        <w:tab w:val="right" w:pos="9360"/>
      </w:tabs>
      <w:ind w:left="-567"/>
      <w:rPr>
        <w:rFonts w:ascii="Source Sans Pro" w:hAnsi="Source Sans Pro" w:cs="Arial"/>
        <w:color w:val="000000"/>
        <w:sz w:val="16"/>
        <w:szCs w:val="16"/>
        <w:lang w:val="es-MX"/>
      </w:rPr>
    </w:pPr>
    <w:r w:rsidRPr="00EB7712">
      <w:rPr>
        <w:rFonts w:ascii="Source Sans Pro" w:hAnsi="Source Sans Pro" w:cs="Arial"/>
        <w:color w:val="000000"/>
        <w:sz w:val="16"/>
        <w:szCs w:val="16"/>
        <w:lang w:val="es-MX"/>
      </w:rPr>
      <w:t xml:space="preserve">                     </w:t>
    </w:r>
    <w:r w:rsidR="0066349D">
      <w:rPr>
        <w:rFonts w:ascii="Source Sans Pro" w:hAnsi="Source Sans Pro" w:cs="Arial"/>
        <w:color w:val="000000"/>
        <w:sz w:val="16"/>
        <w:szCs w:val="16"/>
        <w:lang w:val="es-MX"/>
      </w:rPr>
      <w:t>MGLO/J</w:t>
    </w:r>
    <w:r w:rsidRPr="00EB7712">
      <w:rPr>
        <w:rFonts w:ascii="Source Sans Pro" w:hAnsi="Source Sans Pro" w:cs="Arial"/>
        <w:color w:val="000000"/>
        <w:sz w:val="16"/>
        <w:szCs w:val="16"/>
        <w:lang w:val="es-MX"/>
      </w:rPr>
      <w:t>DVG</w:t>
    </w:r>
    <w:r w:rsidR="00DD0A92">
      <w:rPr>
        <w:rFonts w:ascii="Source Sans Pro" w:hAnsi="Source Sans Pro" w:cs="Arial"/>
        <w:color w:val="000000"/>
        <w:sz w:val="16"/>
        <w:szCs w:val="16"/>
        <w:lang w:val="es-MX"/>
      </w:rPr>
      <w:t>/APM</w:t>
    </w:r>
  </w:p>
  <w:sdt>
    <w:sdtPr>
      <w:rPr>
        <w:rFonts w:ascii="Arial" w:eastAsia="Calibri" w:hAnsi="Arial" w:cs="Arial"/>
        <w:sz w:val="16"/>
        <w:szCs w:val="16"/>
        <w:lang w:val="es-MX" w:eastAsia="en-US"/>
      </w:rPr>
      <w:id w:val="-1905755085"/>
      <w:docPartObj>
        <w:docPartGallery w:val="Page Numbers (Bottom of Page)"/>
        <w:docPartUnique/>
      </w:docPartObj>
    </w:sdtPr>
    <w:sdtEndPr/>
    <w:sdtContent>
      <w:sdt>
        <w:sdtPr>
          <w:rPr>
            <w:rFonts w:ascii="Arial" w:eastAsia="Calibri" w:hAnsi="Arial" w:cs="Arial"/>
            <w:sz w:val="16"/>
            <w:szCs w:val="16"/>
            <w:lang w:val="es-MX" w:eastAsia="en-US"/>
          </w:rPr>
          <w:id w:val="-1669238322"/>
          <w:docPartObj>
            <w:docPartGallery w:val="Page Numbers (Top of Page)"/>
            <w:docPartUnique/>
          </w:docPartObj>
        </w:sdtPr>
        <w:sdtEndPr/>
        <w:sdtContent>
          <w:p w:rsidR="00EB7712" w:rsidRPr="00676375" w:rsidRDefault="00EB7712" w:rsidP="00EB7712">
            <w:pPr>
              <w:tabs>
                <w:tab w:val="center" w:pos="4419"/>
                <w:tab w:val="right" w:pos="8838"/>
              </w:tabs>
              <w:jc w:val="center"/>
              <w:rPr>
                <w:rFonts w:ascii="Arial" w:eastAsia="Calibri" w:hAnsi="Arial" w:cs="Arial"/>
                <w:sz w:val="16"/>
                <w:szCs w:val="16"/>
                <w:lang w:val="es-MX" w:eastAsia="en-US"/>
              </w:rPr>
            </w:pPr>
            <w:r>
              <w:rPr>
                <w:noProof/>
                <w:lang w:val="es-MX"/>
              </w:rPr>
              <w:drawing>
                <wp:anchor distT="114300" distB="114300" distL="114300" distR="114300" simplePos="0" relativeHeight="251659264" behindDoc="0" locked="0" layoutInCell="1" hidden="0" allowOverlap="1" wp14:anchorId="0737205A" wp14:editId="68E0C8E7">
                  <wp:simplePos x="0" y="0"/>
                  <wp:positionH relativeFrom="column">
                    <wp:posOffset>4653280</wp:posOffset>
                  </wp:positionH>
                  <wp:positionV relativeFrom="paragraph">
                    <wp:posOffset>53975</wp:posOffset>
                  </wp:positionV>
                  <wp:extent cx="1647825" cy="285750"/>
                  <wp:effectExtent l="0" t="0" r="9525"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633" t="-11538" r="30982" b="-3846"/>
                          <a:stretch>
                            <a:fillRect/>
                          </a:stretch>
                        </pic:blipFill>
                        <pic:spPr>
                          <a:xfrm>
                            <a:off x="0" y="0"/>
                            <a:ext cx="1647825" cy="285750"/>
                          </a:xfrm>
                          <a:prstGeom prst="rect">
                            <a:avLst/>
                          </a:prstGeom>
                          <a:ln/>
                        </pic:spPr>
                      </pic:pic>
                    </a:graphicData>
                  </a:graphic>
                </wp:anchor>
              </w:drawing>
            </w:r>
            <w:r w:rsidRPr="00676375">
              <w:rPr>
                <w:rFonts w:ascii="Arial" w:eastAsia="Calibri" w:hAnsi="Arial" w:cs="Arial"/>
                <w:sz w:val="16"/>
                <w:szCs w:val="16"/>
                <w:lang w:val="es-ES" w:eastAsia="en-US"/>
              </w:rPr>
              <w:t xml:space="preserve"> </w:t>
            </w:r>
            <w:r w:rsidRPr="00676375">
              <w:rPr>
                <w:rFonts w:ascii="Arial" w:eastAsia="Calibri" w:hAnsi="Arial" w:cs="Arial"/>
                <w:b/>
                <w:bCs/>
                <w:sz w:val="16"/>
                <w:szCs w:val="16"/>
                <w:lang w:val="es-MX" w:eastAsia="en-US"/>
              </w:rPr>
              <w:fldChar w:fldCharType="begin"/>
            </w:r>
            <w:r w:rsidRPr="00676375">
              <w:rPr>
                <w:rFonts w:ascii="Arial" w:eastAsia="Calibri" w:hAnsi="Arial" w:cs="Arial"/>
                <w:b/>
                <w:bCs/>
                <w:sz w:val="16"/>
                <w:szCs w:val="16"/>
                <w:lang w:val="es-MX" w:eastAsia="en-US"/>
              </w:rPr>
              <w:instrText>PAGE</w:instrText>
            </w:r>
            <w:r w:rsidRPr="00676375">
              <w:rPr>
                <w:rFonts w:ascii="Arial" w:eastAsia="Calibri" w:hAnsi="Arial" w:cs="Arial"/>
                <w:b/>
                <w:bCs/>
                <w:sz w:val="16"/>
                <w:szCs w:val="16"/>
                <w:lang w:val="es-MX" w:eastAsia="en-US"/>
              </w:rPr>
              <w:fldChar w:fldCharType="separate"/>
            </w:r>
            <w:r w:rsidR="00A71E79">
              <w:rPr>
                <w:rFonts w:ascii="Arial" w:eastAsia="Calibri" w:hAnsi="Arial" w:cs="Arial"/>
                <w:b/>
                <w:bCs/>
                <w:noProof/>
                <w:sz w:val="16"/>
                <w:szCs w:val="16"/>
                <w:lang w:val="es-MX" w:eastAsia="en-US"/>
              </w:rPr>
              <w:t>1</w:t>
            </w:r>
            <w:r w:rsidRPr="00676375">
              <w:rPr>
                <w:rFonts w:ascii="Arial" w:eastAsia="Calibri" w:hAnsi="Arial" w:cs="Arial"/>
                <w:b/>
                <w:bCs/>
                <w:sz w:val="16"/>
                <w:szCs w:val="16"/>
                <w:lang w:val="es-MX" w:eastAsia="en-US"/>
              </w:rPr>
              <w:fldChar w:fldCharType="end"/>
            </w:r>
            <w:r w:rsidRPr="00676375">
              <w:rPr>
                <w:rFonts w:ascii="Arial" w:eastAsia="Calibri" w:hAnsi="Arial" w:cs="Arial"/>
                <w:sz w:val="16"/>
                <w:szCs w:val="16"/>
                <w:lang w:val="es-ES" w:eastAsia="en-US"/>
              </w:rPr>
              <w:t xml:space="preserve"> de </w:t>
            </w:r>
            <w:r w:rsidRPr="00676375">
              <w:rPr>
                <w:rFonts w:ascii="Arial" w:eastAsia="Calibri" w:hAnsi="Arial" w:cs="Arial"/>
                <w:b/>
                <w:bCs/>
                <w:sz w:val="16"/>
                <w:szCs w:val="16"/>
                <w:lang w:val="es-MX" w:eastAsia="en-US"/>
              </w:rPr>
              <w:fldChar w:fldCharType="begin"/>
            </w:r>
            <w:r w:rsidRPr="00676375">
              <w:rPr>
                <w:rFonts w:ascii="Arial" w:eastAsia="Calibri" w:hAnsi="Arial" w:cs="Arial"/>
                <w:b/>
                <w:bCs/>
                <w:sz w:val="16"/>
                <w:szCs w:val="16"/>
                <w:lang w:val="es-MX" w:eastAsia="en-US"/>
              </w:rPr>
              <w:instrText>NUMPAGES</w:instrText>
            </w:r>
            <w:r w:rsidRPr="00676375">
              <w:rPr>
                <w:rFonts w:ascii="Arial" w:eastAsia="Calibri" w:hAnsi="Arial" w:cs="Arial"/>
                <w:b/>
                <w:bCs/>
                <w:sz w:val="16"/>
                <w:szCs w:val="16"/>
                <w:lang w:val="es-MX" w:eastAsia="en-US"/>
              </w:rPr>
              <w:fldChar w:fldCharType="separate"/>
            </w:r>
            <w:r w:rsidR="00A71E79">
              <w:rPr>
                <w:rFonts w:ascii="Arial" w:eastAsia="Calibri" w:hAnsi="Arial" w:cs="Arial"/>
                <w:b/>
                <w:bCs/>
                <w:noProof/>
                <w:sz w:val="16"/>
                <w:szCs w:val="16"/>
                <w:lang w:val="es-MX" w:eastAsia="en-US"/>
              </w:rPr>
              <w:t>1</w:t>
            </w:r>
            <w:r w:rsidRPr="00676375">
              <w:rPr>
                <w:rFonts w:ascii="Arial" w:eastAsia="Calibri" w:hAnsi="Arial" w:cs="Arial"/>
                <w:b/>
                <w:bCs/>
                <w:sz w:val="16"/>
                <w:szCs w:val="16"/>
                <w:lang w:val="es-MX" w:eastAsia="en-US"/>
              </w:rPr>
              <w:fldChar w:fldCharType="end"/>
            </w:r>
            <w:r>
              <w:rPr>
                <w:rFonts w:ascii="Arial" w:eastAsia="Calibri" w:hAnsi="Arial" w:cs="Arial"/>
                <w:b/>
                <w:bCs/>
                <w:sz w:val="16"/>
                <w:szCs w:val="16"/>
                <w:lang w:val="es-MX" w:eastAsia="en-US"/>
              </w:rPr>
              <w:t xml:space="preserve"> </w:t>
            </w:r>
          </w:p>
        </w:sdtContent>
      </w:sdt>
    </w:sdtContent>
  </w:sdt>
  <w:p w:rsidR="00EB7712" w:rsidRDefault="00EB7712" w:rsidP="00EB7712">
    <w:pPr>
      <w:pBdr>
        <w:top w:val="nil"/>
        <w:left w:val="nil"/>
        <w:bottom w:val="nil"/>
        <w:right w:val="nil"/>
        <w:between w:val="nil"/>
      </w:pBdr>
      <w:tabs>
        <w:tab w:val="center" w:pos="4680"/>
        <w:tab w:val="right" w:pos="9360"/>
      </w:tabs>
      <w:ind w:left="-567"/>
      <w:rPr>
        <w:rFonts w:ascii="Source Sans Pro" w:eastAsia="Source Sans Pro" w:hAnsi="Source Sans Pro" w:cs="Source Sans Pro"/>
        <w:b/>
        <w:color w:val="A5A5A5"/>
        <w:sz w:val="16"/>
        <w:szCs w:val="16"/>
        <w:lang w:val="es-MX"/>
      </w:rPr>
    </w:pPr>
    <w:r>
      <w:rPr>
        <w:rFonts w:ascii="Source Sans Pro" w:eastAsia="Source Sans Pro" w:hAnsi="Source Sans Pro" w:cs="Source Sans Pro"/>
        <w:b/>
        <w:color w:val="A5A5A5"/>
        <w:sz w:val="16"/>
        <w:szCs w:val="16"/>
        <w:lang w:val="es-MX"/>
      </w:rPr>
      <w:t xml:space="preserve">                    </w:t>
    </w:r>
    <w:r w:rsidR="00B45615" w:rsidRPr="00152F38">
      <w:rPr>
        <w:rFonts w:ascii="Source Sans Pro" w:eastAsia="Source Sans Pro" w:hAnsi="Source Sans Pro" w:cs="Source Sans Pro"/>
        <w:b/>
        <w:color w:val="A5A5A5"/>
        <w:sz w:val="16"/>
        <w:szCs w:val="16"/>
        <w:lang w:val="es-MX"/>
      </w:rPr>
      <w:t>Carolina 132, colonia Noche Buena</w:t>
    </w:r>
    <w:r>
      <w:rPr>
        <w:rFonts w:ascii="Source Sans Pro" w:eastAsia="Source Sans Pro" w:hAnsi="Source Sans Pro" w:cs="Source Sans Pro"/>
        <w:b/>
        <w:color w:val="A5A5A5"/>
        <w:sz w:val="16"/>
        <w:szCs w:val="16"/>
        <w:lang w:val="es-MX"/>
      </w:rPr>
      <w:t>, demarcación territorial</w:t>
    </w:r>
  </w:p>
  <w:p w:rsidR="00D10B78" w:rsidRPr="00EB7712" w:rsidRDefault="00B45615">
    <w:pPr>
      <w:pBdr>
        <w:top w:val="nil"/>
        <w:left w:val="nil"/>
        <w:bottom w:val="nil"/>
        <w:right w:val="nil"/>
        <w:between w:val="nil"/>
      </w:pBdr>
      <w:tabs>
        <w:tab w:val="center" w:pos="4680"/>
        <w:tab w:val="right" w:pos="9360"/>
      </w:tabs>
      <w:ind w:left="-567" w:firstLine="637"/>
      <w:rPr>
        <w:rFonts w:ascii="Source Sans Pro" w:eastAsia="Source Sans Pro" w:hAnsi="Source Sans Pro" w:cs="Source Sans Pro"/>
        <w:b/>
        <w:color w:val="A5A5A5"/>
        <w:sz w:val="16"/>
        <w:szCs w:val="16"/>
        <w:lang w:val="es-MX"/>
      </w:rPr>
    </w:pPr>
    <w:r w:rsidRPr="00152F38">
      <w:rPr>
        <w:rFonts w:ascii="Source Sans Pro" w:eastAsia="Source Sans Pro" w:hAnsi="Source Sans Pro" w:cs="Source Sans Pro"/>
        <w:b/>
        <w:color w:val="A5A5A5"/>
        <w:sz w:val="16"/>
        <w:szCs w:val="16"/>
        <w:lang w:val="es-MX"/>
      </w:rPr>
      <w:t>Benito Juárez, C.P. 03720, Ciudad de México</w:t>
    </w:r>
    <w:r w:rsidR="00EB7712">
      <w:rPr>
        <w:rFonts w:ascii="Source Sans Pro" w:eastAsia="Source Sans Pro" w:hAnsi="Source Sans Pro" w:cs="Source Sans Pro"/>
        <w:b/>
        <w:color w:val="A5A5A5"/>
        <w:sz w:val="16"/>
        <w:szCs w:val="16"/>
        <w:lang w:val="es-MX"/>
      </w:rPr>
      <w:t xml:space="preserve">, </w:t>
    </w:r>
    <w:r w:rsidRPr="00EB7712">
      <w:rPr>
        <w:rFonts w:ascii="Source Sans Pro" w:eastAsia="Source Sans Pro" w:hAnsi="Source Sans Pro" w:cs="Source Sans Pro"/>
        <w:b/>
        <w:color w:val="A5A5A5"/>
        <w:sz w:val="16"/>
        <w:szCs w:val="16"/>
        <w:lang w:val="es-MX"/>
      </w:rPr>
      <w:t>T. 55 4737 7700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8C" w:rsidRDefault="00273A8C">
      <w:r>
        <w:separator/>
      </w:r>
    </w:p>
  </w:footnote>
  <w:footnote w:type="continuationSeparator" w:id="0">
    <w:p w:rsidR="00273A8C" w:rsidRDefault="00273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B78" w:rsidRDefault="00152F38">
    <w:pPr>
      <w:pBdr>
        <w:top w:val="nil"/>
        <w:left w:val="nil"/>
        <w:bottom w:val="nil"/>
        <w:right w:val="nil"/>
        <w:between w:val="nil"/>
      </w:pBdr>
      <w:tabs>
        <w:tab w:val="right" w:pos="9781"/>
      </w:tabs>
      <w:ind w:left="-567"/>
      <w:rPr>
        <w:rFonts w:ascii="Arial Black" w:eastAsia="Arial Black" w:hAnsi="Arial Black" w:cs="Arial Black"/>
        <w:b/>
        <w:color w:val="A5A5A5"/>
        <w:sz w:val="16"/>
        <w:szCs w:val="16"/>
      </w:rPr>
    </w:pPr>
    <w:r>
      <w:rPr>
        <w:noProof/>
        <w:lang w:val="es-MX"/>
      </w:rPr>
      <w:drawing>
        <wp:anchor distT="0" distB="0" distL="0" distR="0" simplePos="0" relativeHeight="251658240" behindDoc="0" locked="0" layoutInCell="1" hidden="0" allowOverlap="1" wp14:anchorId="176F92E0" wp14:editId="2E62549F">
          <wp:simplePos x="0" y="0"/>
          <wp:positionH relativeFrom="column">
            <wp:posOffset>-756920</wp:posOffset>
          </wp:positionH>
          <wp:positionV relativeFrom="paragraph">
            <wp:posOffset>-222885</wp:posOffset>
          </wp:positionV>
          <wp:extent cx="7513955" cy="65024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3955" cy="650240"/>
                  </a:xfrm>
                  <a:prstGeom prst="rect">
                    <a:avLst/>
                  </a:prstGeom>
                  <a:ln/>
                </pic:spPr>
              </pic:pic>
            </a:graphicData>
          </a:graphic>
          <wp14:sizeRelH relativeFrom="margin">
            <wp14:pctWidth>0</wp14:pctWidth>
          </wp14:sizeRelH>
          <wp14:sizeRelV relativeFrom="margin">
            <wp14:pctHeight>0</wp14:pctHeight>
          </wp14:sizeRelV>
        </wp:anchor>
      </w:drawing>
    </w:r>
    <w:r w:rsidR="00B45615">
      <w:rPr>
        <w:rFonts w:ascii="Arial Black" w:eastAsia="Arial Black" w:hAnsi="Arial Black" w:cs="Arial Black"/>
        <w:b/>
        <w:color w:val="A5A5A5"/>
        <w:sz w:val="16"/>
        <w:szCs w:val="16"/>
      </w:rPr>
      <w:t xml:space="preserve">                                                                                                                         </w:t>
    </w:r>
  </w:p>
  <w:p w:rsidR="00D10B78" w:rsidRDefault="00D10B78">
    <w:pPr>
      <w:pBdr>
        <w:top w:val="nil"/>
        <w:left w:val="nil"/>
        <w:bottom w:val="nil"/>
        <w:right w:val="nil"/>
        <w:between w:val="nil"/>
      </w:pBdr>
      <w:tabs>
        <w:tab w:val="center" w:pos="4680"/>
        <w:tab w:val="right" w:pos="9360"/>
      </w:tabs>
      <w:ind w:left="-1276"/>
      <w:jc w:val="right"/>
      <w:rPr>
        <w:rFonts w:ascii="Arial Black" w:eastAsia="Arial Black" w:hAnsi="Arial Black" w:cs="Arial Black"/>
        <w:b/>
        <w:color w:val="A5A5A5"/>
        <w:sz w:val="16"/>
        <w:szCs w:val="16"/>
      </w:rPr>
    </w:pPr>
  </w:p>
  <w:p w:rsidR="00EB7712" w:rsidRDefault="00EB7712" w:rsidP="00152F38">
    <w:pPr>
      <w:pBdr>
        <w:top w:val="nil"/>
        <w:left w:val="nil"/>
        <w:bottom w:val="nil"/>
        <w:right w:val="nil"/>
        <w:between w:val="nil"/>
      </w:pBdr>
      <w:tabs>
        <w:tab w:val="center" w:pos="4680"/>
        <w:tab w:val="right" w:pos="9360"/>
      </w:tabs>
      <w:ind w:left="-1276"/>
      <w:jc w:val="right"/>
      <w:rPr>
        <w:rFonts w:ascii="Calibri" w:eastAsia="Calibri" w:hAnsi="Calibri" w:cs="Calibri"/>
        <w:b/>
        <w:color w:val="A5A5A5"/>
        <w:sz w:val="20"/>
        <w:szCs w:val="20"/>
      </w:rPr>
    </w:pPr>
    <w:r>
      <w:rPr>
        <w:rFonts w:ascii="Arial Black" w:eastAsia="Arial Black" w:hAnsi="Arial Black" w:cs="Arial Black"/>
        <w:b/>
        <w:noProof/>
        <w:color w:val="A5A5A5"/>
        <w:sz w:val="16"/>
        <w:szCs w:val="16"/>
        <w:lang w:val="es-MX"/>
      </w:rPr>
      <w:drawing>
        <wp:inline distT="114300" distB="114300" distL="114300" distR="114300" wp14:anchorId="0D5528EA" wp14:editId="170F419F">
          <wp:extent cx="2092569" cy="726831"/>
          <wp:effectExtent l="0" t="0" r="317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98174" cy="72877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rsids>
    <w:rsidRoot w:val="00D10B78"/>
    <w:rsid w:val="00152F38"/>
    <w:rsid w:val="00273A8C"/>
    <w:rsid w:val="00323A10"/>
    <w:rsid w:val="0040429E"/>
    <w:rsid w:val="00520074"/>
    <w:rsid w:val="005A5573"/>
    <w:rsid w:val="00612911"/>
    <w:rsid w:val="0066349D"/>
    <w:rsid w:val="006D0DA2"/>
    <w:rsid w:val="00A71E79"/>
    <w:rsid w:val="00AE651B"/>
    <w:rsid w:val="00B22AEF"/>
    <w:rsid w:val="00B45615"/>
    <w:rsid w:val="00B92CE1"/>
    <w:rsid w:val="00C22FAC"/>
    <w:rsid w:val="00CC6A61"/>
    <w:rsid w:val="00CF0E47"/>
    <w:rsid w:val="00D10B78"/>
    <w:rsid w:val="00D217F5"/>
    <w:rsid w:val="00D60C76"/>
    <w:rsid w:val="00DD0A92"/>
    <w:rsid w:val="00EB77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52F38"/>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F38"/>
    <w:rPr>
      <w:rFonts w:ascii="Tahoma" w:hAnsi="Tahoma" w:cs="Tahoma"/>
      <w:sz w:val="16"/>
      <w:szCs w:val="16"/>
    </w:rPr>
  </w:style>
  <w:style w:type="paragraph" w:styleId="Encabezado">
    <w:name w:val="header"/>
    <w:basedOn w:val="Normal"/>
    <w:link w:val="EncabezadoCar"/>
    <w:uiPriority w:val="99"/>
    <w:unhideWhenUsed/>
    <w:rsid w:val="00152F38"/>
    <w:pPr>
      <w:tabs>
        <w:tab w:val="center" w:pos="4419"/>
        <w:tab w:val="right" w:pos="8838"/>
      </w:tabs>
    </w:pPr>
  </w:style>
  <w:style w:type="character" w:customStyle="1" w:styleId="EncabezadoCar">
    <w:name w:val="Encabezado Car"/>
    <w:basedOn w:val="Fuentedeprrafopredeter"/>
    <w:link w:val="Encabezado"/>
    <w:uiPriority w:val="99"/>
    <w:rsid w:val="00152F38"/>
  </w:style>
  <w:style w:type="paragraph" w:styleId="Piedepgina">
    <w:name w:val="footer"/>
    <w:basedOn w:val="Normal"/>
    <w:link w:val="PiedepginaCar"/>
    <w:uiPriority w:val="99"/>
    <w:unhideWhenUsed/>
    <w:rsid w:val="00152F38"/>
    <w:pPr>
      <w:tabs>
        <w:tab w:val="center" w:pos="4419"/>
        <w:tab w:val="right" w:pos="8838"/>
      </w:tabs>
    </w:pPr>
  </w:style>
  <w:style w:type="character" w:customStyle="1" w:styleId="PiedepginaCar">
    <w:name w:val="Pie de página Car"/>
    <w:basedOn w:val="Fuentedeprrafopredeter"/>
    <w:link w:val="Piedepgina"/>
    <w:uiPriority w:val="99"/>
    <w:rsid w:val="00152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52F38"/>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F38"/>
    <w:rPr>
      <w:rFonts w:ascii="Tahoma" w:hAnsi="Tahoma" w:cs="Tahoma"/>
      <w:sz w:val="16"/>
      <w:szCs w:val="16"/>
    </w:rPr>
  </w:style>
  <w:style w:type="paragraph" w:styleId="Encabezado">
    <w:name w:val="header"/>
    <w:basedOn w:val="Normal"/>
    <w:link w:val="EncabezadoCar"/>
    <w:uiPriority w:val="99"/>
    <w:unhideWhenUsed/>
    <w:rsid w:val="00152F38"/>
    <w:pPr>
      <w:tabs>
        <w:tab w:val="center" w:pos="4419"/>
        <w:tab w:val="right" w:pos="8838"/>
      </w:tabs>
    </w:pPr>
  </w:style>
  <w:style w:type="character" w:customStyle="1" w:styleId="EncabezadoCar">
    <w:name w:val="Encabezado Car"/>
    <w:basedOn w:val="Fuentedeprrafopredeter"/>
    <w:link w:val="Encabezado"/>
    <w:uiPriority w:val="99"/>
    <w:rsid w:val="00152F38"/>
  </w:style>
  <w:style w:type="paragraph" w:styleId="Piedepgina">
    <w:name w:val="footer"/>
    <w:basedOn w:val="Normal"/>
    <w:link w:val="PiedepginaCar"/>
    <w:uiPriority w:val="99"/>
    <w:unhideWhenUsed/>
    <w:rsid w:val="00152F38"/>
    <w:pPr>
      <w:tabs>
        <w:tab w:val="center" w:pos="4419"/>
        <w:tab w:val="right" w:pos="8838"/>
      </w:tabs>
    </w:pPr>
  </w:style>
  <w:style w:type="character" w:customStyle="1" w:styleId="PiedepginaCar">
    <w:name w:val="Pie de página Car"/>
    <w:basedOn w:val="Fuentedeprrafopredeter"/>
    <w:link w:val="Piedepgina"/>
    <w:uiPriority w:val="99"/>
    <w:rsid w:val="00152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DANIEL VAZQUEZ GUERRERO</dc:creator>
  <cp:lastModifiedBy>JESUS DANIEL VAZQUEZ GUERRERO</cp:lastModifiedBy>
  <cp:revision>2</cp:revision>
  <cp:lastPrinted>2021-07-13T22:07:00Z</cp:lastPrinted>
  <dcterms:created xsi:type="dcterms:W3CDTF">2021-07-13T22:08:00Z</dcterms:created>
  <dcterms:modified xsi:type="dcterms:W3CDTF">2021-07-13T22:08:00Z</dcterms:modified>
</cp:coreProperties>
</file>